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F5A3" w14:textId="29A04AE1" w:rsidR="00E04178" w:rsidRPr="000E119C" w:rsidRDefault="000E119C" w:rsidP="004756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Legitimate Interests </w:t>
      </w:r>
      <w:r w:rsidRPr="000E119C">
        <w:rPr>
          <w:rFonts w:ascii="Arial" w:hAnsi="Arial" w:cs="Arial"/>
          <w:b/>
          <w:sz w:val="24"/>
          <w:szCs w:val="24"/>
        </w:rPr>
        <w:t>Balancing Exercise</w:t>
      </w:r>
    </w:p>
    <w:p w14:paraId="27BBD607" w14:textId="6647C3EA" w:rsidR="00475619" w:rsidRDefault="003A3000" w:rsidP="004756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E119C" w:rsidRPr="00C501AE">
        <w:rPr>
          <w:rFonts w:ascii="Arial" w:hAnsi="Arial" w:cs="Arial"/>
          <w:b/>
        </w:rPr>
        <w:t>Activity to be assessed:</w:t>
      </w:r>
      <w:r w:rsidR="006C0318">
        <w:rPr>
          <w:rFonts w:ascii="Arial" w:hAnsi="Arial" w:cs="Arial"/>
        </w:rPr>
        <w:t xml:space="preserve"> </w:t>
      </w:r>
      <w:r w:rsidR="00BE4544">
        <w:rPr>
          <w:rFonts w:ascii="Arial" w:hAnsi="Arial" w:cs="Arial"/>
        </w:rPr>
        <w:t>Lapsed lottery</w:t>
      </w:r>
      <w:r w:rsidR="00716637">
        <w:rPr>
          <w:rFonts w:ascii="Arial" w:hAnsi="Arial" w:cs="Arial"/>
        </w:rPr>
        <w:t xml:space="preserve"> </w:t>
      </w:r>
      <w:r w:rsidR="00600CCC">
        <w:rPr>
          <w:rFonts w:ascii="Arial" w:hAnsi="Arial" w:cs="Arial"/>
        </w:rPr>
        <w:t>mailing to supporters</w:t>
      </w:r>
      <w:r w:rsidR="00600CCC">
        <w:rPr>
          <w:rFonts w:ascii="Arial" w:hAnsi="Arial" w:cs="Arial"/>
        </w:rPr>
        <w:tab/>
      </w:r>
    </w:p>
    <w:p w14:paraId="662656E8" w14:textId="6C0E8EA7" w:rsidR="009951E9" w:rsidRDefault="009951E9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671AF4" w14:textId="09FEF685" w:rsidR="009951E9" w:rsidRDefault="009951E9" w:rsidP="00475619">
      <w:pPr>
        <w:spacing w:after="0" w:line="240" w:lineRule="auto"/>
        <w:rPr>
          <w:rFonts w:ascii="Arial" w:hAnsi="Arial" w:cs="Arial"/>
        </w:rPr>
      </w:pPr>
      <w:r w:rsidRPr="00C501AE">
        <w:rPr>
          <w:rFonts w:ascii="Arial" w:hAnsi="Arial" w:cs="Arial"/>
          <w:b/>
        </w:rPr>
        <w:t>Prepared by:</w:t>
      </w:r>
      <w:r w:rsidR="006C0318">
        <w:rPr>
          <w:rFonts w:ascii="Arial" w:hAnsi="Arial" w:cs="Arial"/>
        </w:rPr>
        <w:t xml:space="preserve"> </w:t>
      </w:r>
      <w:r w:rsidR="00284B52">
        <w:rPr>
          <w:rFonts w:ascii="Arial" w:hAnsi="Arial" w:cs="Arial"/>
        </w:rPr>
        <w:t>Sarah James</w:t>
      </w:r>
      <w:r w:rsidR="00700283">
        <w:rPr>
          <w:rFonts w:ascii="Arial" w:hAnsi="Arial" w:cs="Arial"/>
        </w:rPr>
        <w:t>,</w:t>
      </w:r>
      <w:r w:rsidR="006C0318">
        <w:rPr>
          <w:rFonts w:ascii="Arial" w:hAnsi="Arial" w:cs="Arial"/>
        </w:rPr>
        <w:t xml:space="preserve"> </w:t>
      </w:r>
      <w:r w:rsidR="00640878">
        <w:rPr>
          <w:rFonts w:ascii="Arial" w:hAnsi="Arial" w:cs="Arial"/>
        </w:rPr>
        <w:t xml:space="preserve">Senior Marketing &amp; Database Co-ordinator </w:t>
      </w:r>
    </w:p>
    <w:p w14:paraId="05837AC8" w14:textId="77777777" w:rsidR="00475619" w:rsidRDefault="00475619" w:rsidP="00475619">
      <w:pPr>
        <w:spacing w:after="0" w:line="240" w:lineRule="auto"/>
        <w:rPr>
          <w:rFonts w:ascii="Arial" w:hAnsi="Arial" w:cs="Arial"/>
        </w:rPr>
      </w:pPr>
    </w:p>
    <w:p w14:paraId="6A31A6A2" w14:textId="4A542D28" w:rsidR="00D23D6C" w:rsidRDefault="00D23D6C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the proposed processing</w:t>
      </w:r>
      <w:r w:rsidRPr="00D23D6C">
        <w:rPr>
          <w:rFonts w:ascii="Arial" w:hAnsi="Arial" w:cs="Arial"/>
          <w:b/>
        </w:rPr>
        <w:t>:</w:t>
      </w:r>
    </w:p>
    <w:p w14:paraId="34EFCFF7" w14:textId="0FC6E423" w:rsidR="00041446" w:rsidRPr="0004407F" w:rsidRDefault="00600CCC" w:rsidP="000414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13D8B">
        <w:rPr>
          <w:rFonts w:ascii="Arial" w:hAnsi="Arial" w:cs="Arial"/>
          <w:sz w:val="20"/>
          <w:szCs w:val="20"/>
        </w:rPr>
        <w:t xml:space="preserve">We want to contact </w:t>
      </w:r>
      <w:r w:rsidR="00BE4544">
        <w:rPr>
          <w:rFonts w:ascii="Arial" w:hAnsi="Arial" w:cs="Arial"/>
          <w:sz w:val="20"/>
          <w:szCs w:val="20"/>
        </w:rPr>
        <w:t xml:space="preserve">lapsed lottery supporters with information regarding the new lottery draw.  The letter will contain information about the new rollover prize, the updated prizes </w:t>
      </w:r>
      <w:r w:rsidR="00E10108">
        <w:rPr>
          <w:rFonts w:ascii="Arial" w:hAnsi="Arial" w:cs="Arial"/>
          <w:sz w:val="20"/>
          <w:szCs w:val="20"/>
        </w:rPr>
        <w:t xml:space="preserve">that can be </w:t>
      </w:r>
      <w:r w:rsidR="00BE4544">
        <w:rPr>
          <w:rFonts w:ascii="Arial" w:hAnsi="Arial" w:cs="Arial"/>
          <w:sz w:val="20"/>
          <w:szCs w:val="20"/>
        </w:rPr>
        <w:t>won and details on how to reactivate membership.</w:t>
      </w:r>
      <w:r w:rsidR="00AD277E">
        <w:rPr>
          <w:rFonts w:ascii="Arial" w:hAnsi="Arial" w:cs="Arial"/>
          <w:sz w:val="20"/>
          <w:szCs w:val="20"/>
        </w:rPr>
        <w:br/>
      </w:r>
      <w:r w:rsidR="00C514BC">
        <w:rPr>
          <w:rFonts w:ascii="Arial" w:hAnsi="Arial" w:cs="Arial"/>
          <w:sz w:val="20"/>
          <w:szCs w:val="20"/>
        </w:rPr>
        <w:t xml:space="preserve">The mailing list will be pulled from the current donor database of </w:t>
      </w:r>
      <w:r w:rsidR="00BE4544">
        <w:rPr>
          <w:rFonts w:ascii="Arial" w:hAnsi="Arial" w:cs="Arial"/>
          <w:sz w:val="20"/>
          <w:szCs w:val="20"/>
        </w:rPr>
        <w:t>lapsed lottery members, who have made at least 12 payments</w:t>
      </w:r>
      <w:r w:rsidR="007C1AEB">
        <w:rPr>
          <w:rFonts w:ascii="Arial" w:hAnsi="Arial" w:cs="Arial"/>
          <w:sz w:val="20"/>
          <w:szCs w:val="20"/>
        </w:rPr>
        <w:t xml:space="preserve"> and made payment by Direct Debit</w:t>
      </w:r>
      <w:r w:rsidR="00BE4544">
        <w:rPr>
          <w:rFonts w:ascii="Arial" w:hAnsi="Arial" w:cs="Arial"/>
          <w:sz w:val="20"/>
          <w:szCs w:val="20"/>
        </w:rPr>
        <w:t>.</w:t>
      </w:r>
      <w:r w:rsidR="008372EC">
        <w:rPr>
          <w:rFonts w:ascii="Arial" w:hAnsi="Arial" w:cs="Arial"/>
          <w:sz w:val="20"/>
          <w:szCs w:val="20"/>
        </w:rPr>
        <w:t xml:space="preserve">  </w:t>
      </w:r>
      <w:r w:rsidR="00BE4544">
        <w:rPr>
          <w:rFonts w:ascii="Arial" w:hAnsi="Arial" w:cs="Arial"/>
          <w:sz w:val="20"/>
          <w:szCs w:val="20"/>
        </w:rPr>
        <w:t>We will</w:t>
      </w:r>
      <w:r w:rsidR="00E10108">
        <w:rPr>
          <w:rFonts w:ascii="Arial" w:hAnsi="Arial" w:cs="Arial"/>
          <w:sz w:val="20"/>
          <w:szCs w:val="20"/>
        </w:rPr>
        <w:t xml:space="preserve"> send an email to supporters with an email opt in and for those that don’t</w:t>
      </w:r>
      <w:r w:rsidR="00BE4544">
        <w:rPr>
          <w:rFonts w:ascii="Arial" w:hAnsi="Arial" w:cs="Arial"/>
          <w:sz w:val="20"/>
          <w:szCs w:val="20"/>
        </w:rPr>
        <w:t xml:space="preserve">, </w:t>
      </w:r>
      <w:r w:rsidR="00C037A6">
        <w:rPr>
          <w:rFonts w:ascii="Arial" w:hAnsi="Arial" w:cs="Arial"/>
          <w:sz w:val="20"/>
          <w:szCs w:val="20"/>
        </w:rPr>
        <w:t>we will sen</w:t>
      </w:r>
      <w:r w:rsidR="007C1AEB">
        <w:rPr>
          <w:rFonts w:ascii="Arial" w:hAnsi="Arial" w:cs="Arial"/>
          <w:sz w:val="20"/>
          <w:szCs w:val="20"/>
        </w:rPr>
        <w:t>d postal communication</w:t>
      </w:r>
      <w:r w:rsidR="00C037A6">
        <w:rPr>
          <w:rFonts w:ascii="Arial" w:hAnsi="Arial" w:cs="Arial"/>
          <w:sz w:val="20"/>
          <w:szCs w:val="20"/>
        </w:rPr>
        <w:t xml:space="preserve">.  </w:t>
      </w:r>
      <w:r w:rsidR="00C037A6">
        <w:rPr>
          <w:rFonts w:ascii="Arial" w:hAnsi="Arial" w:cs="Arial"/>
          <w:sz w:val="20"/>
          <w:szCs w:val="20"/>
        </w:rPr>
        <w:br/>
      </w:r>
      <w:r w:rsidR="00DF04E9">
        <w:rPr>
          <w:rFonts w:ascii="Arial" w:hAnsi="Arial" w:cs="Arial"/>
          <w:sz w:val="20"/>
          <w:szCs w:val="20"/>
        </w:rPr>
        <w:t>The mailing will exclude those who have requested not to receive postal mail</w:t>
      </w:r>
      <w:r w:rsidR="007C1AEB">
        <w:rPr>
          <w:rFonts w:ascii="Arial" w:hAnsi="Arial" w:cs="Arial"/>
          <w:sz w:val="20"/>
          <w:szCs w:val="20"/>
        </w:rPr>
        <w:t xml:space="preserve"> and those that have made an in memory donation within 6 weeks of the mailing landing</w:t>
      </w:r>
      <w:r w:rsidR="00DF04E9">
        <w:rPr>
          <w:rFonts w:ascii="Arial" w:hAnsi="Arial" w:cs="Arial"/>
          <w:sz w:val="20"/>
          <w:szCs w:val="20"/>
        </w:rPr>
        <w:t>.</w:t>
      </w:r>
      <w:r w:rsidR="00AD277E">
        <w:rPr>
          <w:rFonts w:ascii="Arial" w:hAnsi="Arial" w:cs="Arial"/>
          <w:sz w:val="20"/>
          <w:szCs w:val="20"/>
        </w:rPr>
        <w:t xml:space="preserve"> </w:t>
      </w:r>
    </w:p>
    <w:p w14:paraId="279DC3B9" w14:textId="24EBF382" w:rsidR="00C514BC" w:rsidRDefault="00041446" w:rsidP="00600C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105B4">
        <w:rPr>
          <w:rFonts w:ascii="Arial" w:hAnsi="Arial" w:cs="Arial"/>
          <w:sz w:val="20"/>
          <w:szCs w:val="20"/>
        </w:rPr>
        <w:t>following segment</w:t>
      </w:r>
      <w:r w:rsidR="0004407F">
        <w:rPr>
          <w:rFonts w:ascii="Arial" w:hAnsi="Arial" w:cs="Arial"/>
          <w:sz w:val="20"/>
          <w:szCs w:val="20"/>
        </w:rPr>
        <w:t xml:space="preserve"> hierarchy</w:t>
      </w:r>
      <w:r>
        <w:rPr>
          <w:rFonts w:ascii="Arial" w:hAnsi="Arial" w:cs="Arial"/>
          <w:sz w:val="20"/>
          <w:szCs w:val="20"/>
        </w:rPr>
        <w:t xml:space="preserve"> will apply</w:t>
      </w:r>
      <w:r w:rsidR="00716637">
        <w:rPr>
          <w:rFonts w:ascii="Arial" w:hAnsi="Arial" w:cs="Arial"/>
          <w:sz w:val="20"/>
          <w:szCs w:val="20"/>
        </w:rPr>
        <w:t>:</w:t>
      </w:r>
    </w:p>
    <w:p w14:paraId="11745BCD" w14:textId="646628A6" w:rsidR="005C6C46" w:rsidRPr="005C6C46" w:rsidRDefault="005C6C46" w:rsidP="00600CC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C6C46">
        <w:rPr>
          <w:rFonts w:ascii="Arial" w:hAnsi="Arial" w:cs="Arial"/>
          <w:b/>
          <w:bCs/>
          <w:sz w:val="20"/>
          <w:szCs w:val="20"/>
          <w:u w:val="single"/>
        </w:rPr>
        <w:t xml:space="preserve">Mailing </w:t>
      </w:r>
    </w:p>
    <w:p w14:paraId="754052CD" w14:textId="7FDD0A05" w:rsidR="00B365C0" w:rsidRPr="00C037A6" w:rsidRDefault="00C037A6" w:rsidP="009F543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who have cancelled their lottery membership between 01.01.2023 – 31.12.2023.  We will </w:t>
      </w:r>
      <w:r w:rsidR="00E10108">
        <w:rPr>
          <w:rFonts w:ascii="Arial" w:hAnsi="Arial" w:cs="Arial"/>
          <w:sz w:val="20"/>
          <w:szCs w:val="20"/>
        </w:rPr>
        <w:t>send the communication to those</w:t>
      </w:r>
      <w:r>
        <w:rPr>
          <w:rFonts w:ascii="Arial" w:hAnsi="Arial" w:cs="Arial"/>
          <w:sz w:val="20"/>
          <w:szCs w:val="20"/>
        </w:rPr>
        <w:t xml:space="preserve"> who paid by Direct Debit and made at least 12 payments to the lottery.   </w:t>
      </w:r>
    </w:p>
    <w:p w14:paraId="77F07C01" w14:textId="7209A2AE" w:rsidR="00600CCC" w:rsidRPr="009F5431" w:rsidRDefault="00C037A6" w:rsidP="009F54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04407F" w:rsidRPr="00431915">
        <w:rPr>
          <w:rFonts w:ascii="Arial" w:hAnsi="Arial" w:cs="Arial"/>
          <w:sz w:val="20"/>
          <w:szCs w:val="20"/>
        </w:rPr>
        <w:t xml:space="preserve">The following exclusions will apply: </w:t>
      </w:r>
    </w:p>
    <w:p w14:paraId="50E960A1" w14:textId="3AD1BBFA" w:rsidR="00B365C0" w:rsidRDefault="00B365C0" w:rsidP="00875BB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supporters who have made an in memory donation within six weeks of the mailing </w:t>
      </w:r>
      <w:r w:rsidR="00C037A6">
        <w:rPr>
          <w:rFonts w:ascii="Arial" w:hAnsi="Arial" w:cs="Arial"/>
          <w:sz w:val="20"/>
          <w:szCs w:val="20"/>
        </w:rPr>
        <w:t>date</w:t>
      </w:r>
    </w:p>
    <w:p w14:paraId="2C4E1A4C" w14:textId="49FED976" w:rsidR="00C514BC" w:rsidRDefault="009F5431" w:rsidP="00875BB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 18’s</w:t>
      </w:r>
    </w:p>
    <w:p w14:paraId="75DFFBCF" w14:textId="5A6255F4" w:rsidR="009F5431" w:rsidRPr="009F5431" w:rsidRDefault="009F5431" w:rsidP="009F543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31915">
        <w:rPr>
          <w:rFonts w:ascii="Arial" w:hAnsi="Arial" w:cs="Arial"/>
          <w:sz w:val="20"/>
          <w:szCs w:val="20"/>
        </w:rPr>
        <w:t xml:space="preserve">Postal </w:t>
      </w:r>
      <w:proofErr w:type="spellStart"/>
      <w:r w:rsidRPr="00431915">
        <w:rPr>
          <w:rFonts w:ascii="Arial" w:hAnsi="Arial" w:cs="Arial"/>
          <w:sz w:val="20"/>
          <w:szCs w:val="20"/>
        </w:rPr>
        <w:t>Opt</w:t>
      </w:r>
      <w:proofErr w:type="spellEnd"/>
      <w:r w:rsidRPr="00431915">
        <w:rPr>
          <w:rFonts w:ascii="Arial" w:hAnsi="Arial" w:cs="Arial"/>
          <w:sz w:val="20"/>
          <w:szCs w:val="20"/>
        </w:rPr>
        <w:t xml:space="preserve"> Out</w:t>
      </w:r>
    </w:p>
    <w:p w14:paraId="7C9E5B42" w14:textId="56A2A250" w:rsidR="005C6C46" w:rsidRPr="00431915" w:rsidRDefault="005C6C46" w:rsidP="00C514B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31915">
        <w:rPr>
          <w:rFonts w:ascii="Arial" w:hAnsi="Arial" w:cs="Arial"/>
          <w:sz w:val="20"/>
          <w:szCs w:val="20"/>
        </w:rPr>
        <w:t>No appeal attribute</w:t>
      </w:r>
    </w:p>
    <w:p w14:paraId="02EA85D4" w14:textId="3E546CDF" w:rsidR="00600CCC" w:rsidRPr="00431915" w:rsidRDefault="00600CCC" w:rsidP="00C514B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31915">
        <w:rPr>
          <w:rFonts w:ascii="Arial" w:hAnsi="Arial" w:cs="Arial"/>
          <w:sz w:val="20"/>
          <w:szCs w:val="20"/>
        </w:rPr>
        <w:t>FPS registered</w:t>
      </w:r>
    </w:p>
    <w:p w14:paraId="0E37E89F" w14:textId="77777777" w:rsidR="00475619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200A0387" w14:textId="77777777" w:rsidR="00475619" w:rsidRPr="00D23D6C" w:rsidRDefault="00475619" w:rsidP="0047561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3402"/>
      </w:tblGrid>
      <w:tr w:rsidR="00D23D6C" w14:paraId="5EC3F6C9" w14:textId="77777777" w:rsidTr="00475619">
        <w:tc>
          <w:tcPr>
            <w:tcW w:w="4390" w:type="dxa"/>
          </w:tcPr>
          <w:p w14:paraId="404BB6E7" w14:textId="5DF4EEA9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Purpose Test</w:t>
            </w:r>
          </w:p>
        </w:tc>
        <w:tc>
          <w:tcPr>
            <w:tcW w:w="6804" w:type="dxa"/>
          </w:tcPr>
          <w:p w14:paraId="33B49B14" w14:textId="1874B7C4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Necessity Test</w:t>
            </w:r>
          </w:p>
        </w:tc>
        <w:tc>
          <w:tcPr>
            <w:tcW w:w="3402" w:type="dxa"/>
          </w:tcPr>
          <w:p w14:paraId="32AE1BF8" w14:textId="50BAA308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Balancing Test</w:t>
            </w:r>
          </w:p>
        </w:tc>
      </w:tr>
      <w:tr w:rsidR="00D23D6C" w14:paraId="40FF2ADC" w14:textId="77777777" w:rsidTr="00475619">
        <w:tc>
          <w:tcPr>
            <w:tcW w:w="4390" w:type="dxa"/>
          </w:tcPr>
          <w:p w14:paraId="699A30E3" w14:textId="4F310BA2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Do we have a legitimate interest, taking account of the individual’s reasonable expectations?</w:t>
            </w:r>
          </w:p>
        </w:tc>
        <w:tc>
          <w:tcPr>
            <w:tcW w:w="6804" w:type="dxa"/>
          </w:tcPr>
          <w:p w14:paraId="04EE670E" w14:textId="77777777" w:rsidR="00D23D6C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processing detailed above necessary to achieve the purpose? </w:t>
            </w:r>
          </w:p>
          <w:p w14:paraId="5B525F9C" w14:textId="3193D8B4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Could the purpose be achieved by some other reasonable means without processing the data in this way?</w:t>
            </w:r>
          </w:p>
        </w:tc>
        <w:tc>
          <w:tcPr>
            <w:tcW w:w="3402" w:type="dxa"/>
          </w:tcPr>
          <w:p w14:paraId="022ADA23" w14:textId="7CF7024F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Are we sure we aren’t overriding the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individual’s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 xml:space="preserve"> fundamental rights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or freedoms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600CCC" w14:paraId="212E5F28" w14:textId="77777777" w:rsidTr="00475619">
        <w:tc>
          <w:tcPr>
            <w:tcW w:w="4390" w:type="dxa"/>
          </w:tcPr>
          <w:p w14:paraId="4E81BEDF" w14:textId="77777777" w:rsidR="008237D3" w:rsidRDefault="008237D3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30D6C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have a legitimate interest.</w:t>
            </w:r>
          </w:p>
          <w:p w14:paraId="2E26B437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C5C80" w14:textId="5EEB3500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 xml:space="preserve">Sending the </w:t>
            </w:r>
            <w:r w:rsidR="005C6C46">
              <w:rPr>
                <w:rFonts w:ascii="Arial" w:hAnsi="Arial" w:cs="Arial"/>
                <w:sz w:val="20"/>
                <w:szCs w:val="20"/>
              </w:rPr>
              <w:t>mailing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is direct marketing, which may be considered a legitimate interest.</w:t>
            </w:r>
          </w:p>
          <w:p w14:paraId="29D56F05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0E875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would reasonably expect us to send the letter because:</w:t>
            </w:r>
          </w:p>
          <w:p w14:paraId="2FB2C1F2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73B0D" w14:textId="52B557C6" w:rsidR="00600CCC" w:rsidRPr="00E95073" w:rsidRDefault="00600CCC" w:rsidP="00600CC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95073">
              <w:rPr>
                <w:rFonts w:ascii="Arial" w:hAnsi="Arial" w:cs="Arial"/>
                <w:sz w:val="20"/>
                <w:szCs w:val="20"/>
              </w:rPr>
              <w:lastRenderedPageBreak/>
              <w:t xml:space="preserve">They have </w:t>
            </w:r>
            <w:r w:rsidR="00E10108">
              <w:rPr>
                <w:rFonts w:ascii="Arial" w:hAnsi="Arial" w:cs="Arial"/>
                <w:sz w:val="20"/>
                <w:szCs w:val="20"/>
              </w:rPr>
              <w:t>previous</w:t>
            </w:r>
            <w:r w:rsidR="007C1AEB">
              <w:rPr>
                <w:rFonts w:ascii="Arial" w:hAnsi="Arial" w:cs="Arial"/>
                <w:sz w:val="20"/>
                <w:szCs w:val="20"/>
              </w:rPr>
              <w:t>ly been a</w:t>
            </w:r>
            <w:r w:rsidR="00E10108">
              <w:rPr>
                <w:rFonts w:ascii="Arial" w:hAnsi="Arial" w:cs="Arial"/>
                <w:sz w:val="20"/>
                <w:szCs w:val="20"/>
              </w:rPr>
              <w:t xml:space="preserve"> member of the lottery and may not be aware of the new draw and the prizes on offer</w:t>
            </w:r>
          </w:p>
          <w:p w14:paraId="31314F45" w14:textId="594229EC" w:rsidR="00600CCC" w:rsidRPr="00E95073" w:rsidRDefault="00600CCC" w:rsidP="0060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In the acknowledgement of their initial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subsequent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donation they were informed that we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send them information 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how their support is helping and upcoming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fundraising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EDF5B48" w14:textId="4BBAD31F" w:rsidR="00600CCC" w:rsidRPr="00D21911" w:rsidRDefault="00600CCC" w:rsidP="00600C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 xml:space="preserve">They were directed to our privacy policy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directed on 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how to opt out </w:t>
            </w:r>
            <w:r>
              <w:rPr>
                <w:rFonts w:ascii="Arial" w:hAnsi="Arial" w:cs="Arial"/>
                <w:sz w:val="20"/>
                <w:szCs w:val="20"/>
              </w:rPr>
              <w:t xml:space="preserve">of further communications and have not done so. </w:t>
            </w:r>
          </w:p>
        </w:tc>
        <w:tc>
          <w:tcPr>
            <w:tcW w:w="6804" w:type="dxa"/>
          </w:tcPr>
          <w:p w14:paraId="22CD6329" w14:textId="3F960F1D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Pr="00600CCC">
              <w:rPr>
                <w:rFonts w:ascii="Arial" w:hAnsi="Arial" w:cs="Arial"/>
                <w:sz w:val="20"/>
                <w:szCs w:val="20"/>
              </w:rPr>
              <w:t xml:space="preserve">Yes, processing is necessary to achieve the purpose </w:t>
            </w:r>
            <w:r>
              <w:rPr>
                <w:rFonts w:ascii="Arial" w:hAnsi="Arial" w:cs="Arial"/>
                <w:sz w:val="20"/>
                <w:szCs w:val="20"/>
              </w:rPr>
              <w:t>of keeping the recipient info</w:t>
            </w:r>
            <w:r w:rsidR="0004407F">
              <w:rPr>
                <w:rFonts w:ascii="Arial" w:hAnsi="Arial" w:cs="Arial"/>
                <w:sz w:val="20"/>
                <w:szCs w:val="20"/>
              </w:rPr>
              <w:t xml:space="preserve">rmed of hospice activity, future fundraising activities and </w:t>
            </w:r>
            <w:r w:rsidR="009F5431"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="00E10108">
              <w:rPr>
                <w:rFonts w:ascii="Arial" w:hAnsi="Arial" w:cs="Arial"/>
                <w:sz w:val="20"/>
                <w:szCs w:val="20"/>
              </w:rPr>
              <w:t>weekly lottery.</w:t>
            </w:r>
            <w:r w:rsidR="000440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3FD471" w14:textId="77777777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BD9FF6" w14:textId="7D66D1EC" w:rsidR="00600CCC" w:rsidRP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purpose could not be achieved without processing the data in the manner specified. </w:t>
            </w:r>
          </w:p>
        </w:tc>
        <w:tc>
          <w:tcPr>
            <w:tcW w:w="3402" w:type="dxa"/>
          </w:tcPr>
          <w:p w14:paraId="62846081" w14:textId="77777777" w:rsidR="008237D3" w:rsidRDefault="008237D3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4964B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are sure that we are not overriding their fundamental rights.</w:t>
            </w:r>
          </w:p>
          <w:p w14:paraId="58F66FD8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D9EF1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have not objected to receiving direct marketing.</w:t>
            </w:r>
          </w:p>
          <w:p w14:paraId="4E37457D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1A042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letter we want to send is relevant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1DCCBB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40A16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Information about how to opt out of further communications will be included in the letter.</w:t>
            </w:r>
          </w:p>
          <w:p w14:paraId="2643B3E7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E9327" w14:textId="2B209B51" w:rsidR="00600CCC" w:rsidRPr="00413D8B" w:rsidRDefault="00600CCC" w:rsidP="00875B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A1D6C" w14:textId="0F6DB945" w:rsidR="00D23D6C" w:rsidRPr="0004407F" w:rsidRDefault="0004407F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lastRenderedPageBreak/>
        <w:br/>
      </w:r>
      <w:r w:rsidR="00475619" w:rsidRPr="0004407F">
        <w:rPr>
          <w:rFonts w:ascii="Arial" w:hAnsi="Arial" w:cs="Arial"/>
          <w:b/>
        </w:rPr>
        <w:t>To be completed by Alice:</w:t>
      </w:r>
    </w:p>
    <w:p w14:paraId="3B3626B6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6DDC51B" w14:textId="7814CA5B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Purpose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there a legitimate interest behind the processing?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2777F7B3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54DF6CAE" w14:textId="3C2ED255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Necessity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processing necessary for that purpose?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406650DD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A59412E" w14:textId="4022DD67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Balancing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legitimate interest overridden by the individual’s interests, rights or freedoms?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30390906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77503A5B" w14:textId="3D343856" w:rsidR="000E119C" w:rsidRPr="0004407F" w:rsidRDefault="00D23D6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Outcome</w:t>
      </w:r>
      <w:r w:rsidR="000E119C" w:rsidRPr="0004407F">
        <w:rPr>
          <w:rFonts w:ascii="Arial" w:hAnsi="Arial" w:cs="Arial"/>
          <w:b/>
        </w:rPr>
        <w:t>:</w:t>
      </w:r>
      <w:r w:rsidR="000E119C" w:rsidRPr="0004407F">
        <w:rPr>
          <w:rFonts w:ascii="Arial" w:hAnsi="Arial" w:cs="Arial"/>
        </w:rPr>
        <w:t xml:space="preserve"> </w:t>
      </w:r>
    </w:p>
    <w:p w14:paraId="171C03BF" w14:textId="77777777" w:rsidR="00475619" w:rsidRPr="0004407F" w:rsidRDefault="00475619" w:rsidP="00475619">
      <w:pPr>
        <w:spacing w:after="0" w:line="240" w:lineRule="auto"/>
        <w:rPr>
          <w:rFonts w:ascii="Arial" w:hAnsi="Arial" w:cs="Arial"/>
        </w:rPr>
      </w:pPr>
    </w:p>
    <w:p w14:paraId="17621FE0" w14:textId="23347A38" w:rsidR="00D23D6C" w:rsidRPr="0004407F" w:rsidRDefault="00E74429" w:rsidP="00475619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D23D6C" w:rsidRPr="0004407F">
        <w:rPr>
          <w:rFonts w:ascii="Arial" w:hAnsi="Arial" w:cs="Arial"/>
        </w:rPr>
        <w:t>Approved</w:t>
      </w:r>
      <w:r w:rsidR="00D23D6C" w:rsidRPr="0004407F">
        <w:rPr>
          <w:rFonts w:ascii="Arial" w:hAnsi="Arial" w:cs="Arial"/>
        </w:rPr>
        <w:tab/>
      </w:r>
      <w:r w:rsidR="00D23D6C" w:rsidRPr="0004407F">
        <w:rPr>
          <w:rFonts w:ascii="Arial" w:hAnsi="Arial" w:cs="Arial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D23D6C" w:rsidRPr="0004407F">
        <w:rPr>
          <w:rFonts w:ascii="Arial" w:hAnsi="Arial" w:cs="Arial"/>
        </w:rPr>
        <w:t>Not Approved</w:t>
      </w:r>
    </w:p>
    <w:p w14:paraId="28C884B0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166D65A1" w14:textId="7ACEA393" w:rsidR="00413D8B" w:rsidRPr="0004407F" w:rsidRDefault="000E119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Date:</w:t>
      </w:r>
      <w:r w:rsidRPr="0004407F">
        <w:rPr>
          <w:rFonts w:ascii="Arial" w:hAnsi="Arial" w:cs="Arial"/>
        </w:rPr>
        <w:t xml:space="preserve"> </w:t>
      </w:r>
    </w:p>
    <w:sectPr w:rsidR="00413D8B" w:rsidRPr="0004407F" w:rsidSect="006D31F8">
      <w:pgSz w:w="16838" w:h="11906" w:orient="landscape"/>
      <w:pgMar w:top="567" w:right="1077" w:bottom="567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F515" w14:textId="77777777" w:rsidR="00DA4CC9" w:rsidRDefault="00DA4CC9" w:rsidP="000E119C">
      <w:pPr>
        <w:spacing w:after="0" w:line="240" w:lineRule="auto"/>
      </w:pPr>
      <w:r>
        <w:separator/>
      </w:r>
    </w:p>
  </w:endnote>
  <w:endnote w:type="continuationSeparator" w:id="0">
    <w:p w14:paraId="0A817D61" w14:textId="77777777" w:rsidR="00DA4CC9" w:rsidRDefault="00DA4CC9" w:rsidP="000E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A634" w14:textId="77777777" w:rsidR="00DA4CC9" w:rsidRDefault="00DA4CC9" w:rsidP="000E119C">
      <w:pPr>
        <w:spacing w:after="0" w:line="240" w:lineRule="auto"/>
      </w:pPr>
      <w:r>
        <w:separator/>
      </w:r>
    </w:p>
  </w:footnote>
  <w:footnote w:type="continuationSeparator" w:id="0">
    <w:p w14:paraId="3B4233D4" w14:textId="77777777" w:rsidR="00DA4CC9" w:rsidRDefault="00DA4CC9" w:rsidP="000E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E5F"/>
    <w:multiLevelType w:val="hybridMultilevel"/>
    <w:tmpl w:val="31A05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4902"/>
    <w:multiLevelType w:val="hybridMultilevel"/>
    <w:tmpl w:val="25627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D52B1"/>
    <w:multiLevelType w:val="hybridMultilevel"/>
    <w:tmpl w:val="2A88066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47648"/>
    <w:multiLevelType w:val="hybridMultilevel"/>
    <w:tmpl w:val="2A48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475EF"/>
    <w:multiLevelType w:val="hybridMultilevel"/>
    <w:tmpl w:val="6CB2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B0280"/>
    <w:multiLevelType w:val="hybridMultilevel"/>
    <w:tmpl w:val="79982670"/>
    <w:lvl w:ilvl="0" w:tplc="760E83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66C36"/>
    <w:multiLevelType w:val="hybridMultilevel"/>
    <w:tmpl w:val="37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66BA0"/>
    <w:multiLevelType w:val="hybridMultilevel"/>
    <w:tmpl w:val="4B66F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B6AD7"/>
    <w:multiLevelType w:val="hybridMultilevel"/>
    <w:tmpl w:val="0CC0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945A9"/>
    <w:multiLevelType w:val="multilevel"/>
    <w:tmpl w:val="375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910665">
    <w:abstractNumId w:val="3"/>
  </w:num>
  <w:num w:numId="2" w16cid:durableId="412900789">
    <w:abstractNumId w:val="2"/>
  </w:num>
  <w:num w:numId="3" w16cid:durableId="903415583">
    <w:abstractNumId w:val="5"/>
  </w:num>
  <w:num w:numId="4" w16cid:durableId="1098645702">
    <w:abstractNumId w:val="6"/>
  </w:num>
  <w:num w:numId="5" w16cid:durableId="873347096">
    <w:abstractNumId w:val="7"/>
  </w:num>
  <w:num w:numId="6" w16cid:durableId="1092556037">
    <w:abstractNumId w:val="9"/>
  </w:num>
  <w:num w:numId="7" w16cid:durableId="1112478158">
    <w:abstractNumId w:val="0"/>
  </w:num>
  <w:num w:numId="8" w16cid:durableId="727341732">
    <w:abstractNumId w:val="1"/>
  </w:num>
  <w:num w:numId="9" w16cid:durableId="946275232">
    <w:abstractNumId w:val="4"/>
  </w:num>
  <w:num w:numId="10" w16cid:durableId="2016109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8"/>
    <w:rsid w:val="00002CF8"/>
    <w:rsid w:val="00020DC8"/>
    <w:rsid w:val="00036FF8"/>
    <w:rsid w:val="00041446"/>
    <w:rsid w:val="0004407F"/>
    <w:rsid w:val="00074AFA"/>
    <w:rsid w:val="000E119C"/>
    <w:rsid w:val="000F0B2D"/>
    <w:rsid w:val="00117C45"/>
    <w:rsid w:val="00136C4F"/>
    <w:rsid w:val="00177972"/>
    <w:rsid w:val="0019084E"/>
    <w:rsid w:val="001B3E3B"/>
    <w:rsid w:val="00220EB0"/>
    <w:rsid w:val="002313F0"/>
    <w:rsid w:val="00247B54"/>
    <w:rsid w:val="002509BF"/>
    <w:rsid w:val="00284B52"/>
    <w:rsid w:val="002F69AE"/>
    <w:rsid w:val="002F799D"/>
    <w:rsid w:val="00316276"/>
    <w:rsid w:val="0031739C"/>
    <w:rsid w:val="00317D94"/>
    <w:rsid w:val="003510CF"/>
    <w:rsid w:val="003A3000"/>
    <w:rsid w:val="00413D8B"/>
    <w:rsid w:val="00431915"/>
    <w:rsid w:val="004440D1"/>
    <w:rsid w:val="004660BA"/>
    <w:rsid w:val="00472B21"/>
    <w:rsid w:val="00475619"/>
    <w:rsid w:val="00482AF9"/>
    <w:rsid w:val="004B4F25"/>
    <w:rsid w:val="00522E21"/>
    <w:rsid w:val="00552344"/>
    <w:rsid w:val="005732B7"/>
    <w:rsid w:val="005C6C46"/>
    <w:rsid w:val="005D6366"/>
    <w:rsid w:val="005E6479"/>
    <w:rsid w:val="005E7FF7"/>
    <w:rsid w:val="00600CCC"/>
    <w:rsid w:val="00635B3E"/>
    <w:rsid w:val="00640878"/>
    <w:rsid w:val="00645A80"/>
    <w:rsid w:val="006661BD"/>
    <w:rsid w:val="00671015"/>
    <w:rsid w:val="00677423"/>
    <w:rsid w:val="00696B97"/>
    <w:rsid w:val="006A2DDC"/>
    <w:rsid w:val="006C0318"/>
    <w:rsid w:val="006D31F8"/>
    <w:rsid w:val="006F1236"/>
    <w:rsid w:val="00700283"/>
    <w:rsid w:val="00715921"/>
    <w:rsid w:val="00716637"/>
    <w:rsid w:val="00760FEE"/>
    <w:rsid w:val="007B6E2F"/>
    <w:rsid w:val="007C1AEB"/>
    <w:rsid w:val="008237D3"/>
    <w:rsid w:val="008372EC"/>
    <w:rsid w:val="00846182"/>
    <w:rsid w:val="00875BBD"/>
    <w:rsid w:val="008D00ED"/>
    <w:rsid w:val="008D59B6"/>
    <w:rsid w:val="0090012F"/>
    <w:rsid w:val="009317F7"/>
    <w:rsid w:val="00977B45"/>
    <w:rsid w:val="00986B45"/>
    <w:rsid w:val="009951E9"/>
    <w:rsid w:val="009B5749"/>
    <w:rsid w:val="009F2896"/>
    <w:rsid w:val="009F5431"/>
    <w:rsid w:val="00A57627"/>
    <w:rsid w:val="00AD277E"/>
    <w:rsid w:val="00B365C0"/>
    <w:rsid w:val="00B65DE5"/>
    <w:rsid w:val="00B77BA0"/>
    <w:rsid w:val="00BC50E1"/>
    <w:rsid w:val="00BE2833"/>
    <w:rsid w:val="00BE4544"/>
    <w:rsid w:val="00C037A6"/>
    <w:rsid w:val="00C053E1"/>
    <w:rsid w:val="00C105B4"/>
    <w:rsid w:val="00C501AE"/>
    <w:rsid w:val="00C514BC"/>
    <w:rsid w:val="00C82BBF"/>
    <w:rsid w:val="00CE5874"/>
    <w:rsid w:val="00D21911"/>
    <w:rsid w:val="00D23D6C"/>
    <w:rsid w:val="00D259E7"/>
    <w:rsid w:val="00D82C0E"/>
    <w:rsid w:val="00D95D91"/>
    <w:rsid w:val="00DA4CC9"/>
    <w:rsid w:val="00DC0973"/>
    <w:rsid w:val="00DC4A39"/>
    <w:rsid w:val="00DD5949"/>
    <w:rsid w:val="00DD766E"/>
    <w:rsid w:val="00DF04E9"/>
    <w:rsid w:val="00DF6964"/>
    <w:rsid w:val="00E04178"/>
    <w:rsid w:val="00E10108"/>
    <w:rsid w:val="00E3298B"/>
    <w:rsid w:val="00E411E8"/>
    <w:rsid w:val="00E712DF"/>
    <w:rsid w:val="00E74429"/>
    <w:rsid w:val="00E95073"/>
    <w:rsid w:val="00EB0EAD"/>
    <w:rsid w:val="00F25CEF"/>
    <w:rsid w:val="00F310C7"/>
    <w:rsid w:val="00F75939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C559"/>
  <w15:chartTrackingRefBased/>
  <w15:docId w15:val="{AB98D948-9FD9-401D-BEFB-5A740A29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9C"/>
  </w:style>
  <w:style w:type="paragraph" w:styleId="Footer">
    <w:name w:val="footer"/>
    <w:basedOn w:val="Normal"/>
    <w:link w:val="Foot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9C"/>
  </w:style>
  <w:style w:type="character" w:styleId="Strong">
    <w:name w:val="Strong"/>
    <w:basedOn w:val="DefaultParagraphFont"/>
    <w:uiPriority w:val="22"/>
    <w:qFormat/>
    <w:rsid w:val="00D23D6C"/>
    <w:rPr>
      <w:b/>
      <w:bCs/>
    </w:rPr>
  </w:style>
  <w:style w:type="paragraph" w:styleId="Revision">
    <w:name w:val="Revision"/>
    <w:hidden/>
    <w:uiPriority w:val="99"/>
    <w:semiHidden/>
    <w:rsid w:val="00E71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bc1627-8ac3-4da8-9dc7-409cc4b40b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970D40FCDB4DB3DA67B6F57819AB" ma:contentTypeVersion="5" ma:contentTypeDescription="Create a new document." ma:contentTypeScope="" ma:versionID="ded602e8b41660a74ab5dd1eb219377e">
  <xsd:schema xmlns:xsd="http://www.w3.org/2001/XMLSchema" xmlns:xs="http://www.w3.org/2001/XMLSchema" xmlns:p="http://schemas.microsoft.com/office/2006/metadata/properties" xmlns:ns3="e1bc1627-8ac3-4da8-9dc7-409cc4b40bbd" targetNamespace="http://schemas.microsoft.com/office/2006/metadata/properties" ma:root="true" ma:fieldsID="a0ea35b3430300ed38595789dfeb21d8" ns3:_="">
    <xsd:import namespace="e1bc1627-8ac3-4da8-9dc7-409cc4b40b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c1627-8ac3-4da8-9dc7-409cc4b40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7E609-4538-4691-BD2C-3BE47CE1ABA7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e1bc1627-8ac3-4da8-9dc7-409cc4b40bb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45E482-EBF0-47C2-B443-2699AD0D1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c1627-8ac3-4da8-9dc7-409cc4b40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31F95-F404-45EF-84EA-A82BBB013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Cassidy</dc:creator>
  <cp:keywords/>
  <dc:description/>
  <cp:lastModifiedBy>Sarah James</cp:lastModifiedBy>
  <cp:revision>5</cp:revision>
  <cp:lastPrinted>2024-08-13T14:02:00Z</cp:lastPrinted>
  <dcterms:created xsi:type="dcterms:W3CDTF">2025-01-29T09:36:00Z</dcterms:created>
  <dcterms:modified xsi:type="dcterms:W3CDTF">2025-01-29T09:59:00Z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0x0101000BC8970D40FCDB4DB3DA67B6F57819AB</vt:lpwstr>
  </property>
</Properties>
</file>